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06A0" w14:textId="1E162260" w:rsidR="00D51388" w:rsidRPr="00D51388" w:rsidRDefault="00D51388" w:rsidP="00D513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D51388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en-GB"/>
        </w:rPr>
        <w:drawing>
          <wp:inline distT="0" distB="0" distL="0" distR="0" wp14:anchorId="71EFA79A" wp14:editId="0BB4470B">
            <wp:extent cx="5731510" cy="72453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al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FAB2" w14:textId="77777777" w:rsidR="00D51388" w:rsidRPr="00D51388" w:rsidRDefault="00D51388" w:rsidP="00D5138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aps/>
          <w:color w:val="333333"/>
          <w:sz w:val="44"/>
          <w:szCs w:val="44"/>
          <w:lang w:eastAsia="en-GB"/>
        </w:rPr>
      </w:pPr>
      <w:r w:rsidRPr="00D51388">
        <w:rPr>
          <w:rFonts w:ascii="inherit" w:eastAsia="Times New Roman" w:hAnsi="inherit" w:cs="Times New Roman"/>
          <w:b/>
          <w:bCs/>
          <w:caps/>
          <w:color w:val="333333"/>
          <w:sz w:val="44"/>
          <w:szCs w:val="44"/>
          <w:lang w:eastAsia="en-GB"/>
        </w:rPr>
        <w:t>PORTAL LEGISLATIV</w:t>
      </w:r>
    </w:p>
    <w:p w14:paraId="7E225EF2" w14:textId="77777777" w:rsidR="00D51388" w:rsidRPr="00D51388" w:rsidRDefault="00D51388" w:rsidP="00D51388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D51388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pict w14:anchorId="11FDAC92">
          <v:rect id="_x0000_i1026" style="width:0;height:0" o:hralign="center" o:hrstd="t" o:hr="t" fillcolor="#a0a0a0" stroked="f"/>
        </w:pict>
      </w:r>
    </w:p>
    <w:p w14:paraId="07A1536B" w14:textId="77777777" w:rsidR="00D51388" w:rsidRPr="00D51388" w:rsidRDefault="00D51388" w:rsidP="00D51388">
      <w:pPr>
        <w:shd w:val="clear" w:color="auto" w:fill="003971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27"/>
          <w:szCs w:val="27"/>
          <w:lang w:eastAsia="en-GB"/>
        </w:rPr>
      </w:pPr>
      <w:proofErr w:type="spellStart"/>
      <w:r w:rsidRPr="00D51388">
        <w:rPr>
          <w:rFonts w:ascii="inherit" w:eastAsia="Times New Roman" w:hAnsi="inherit" w:cs="Times New Roman"/>
          <w:color w:val="333333"/>
          <w:sz w:val="27"/>
          <w:szCs w:val="27"/>
          <w:lang w:eastAsia="en-GB"/>
        </w:rPr>
        <w:t>Meniu</w:t>
      </w:r>
      <w:proofErr w:type="spellEnd"/>
    </w:p>
    <w:p w14:paraId="5309D9C1" w14:textId="77777777" w:rsidR="00D51388" w:rsidRPr="00D51388" w:rsidRDefault="00D51388" w:rsidP="00D51388">
      <w:pPr>
        <w:numPr>
          <w:ilvl w:val="0"/>
          <w:numId w:val="2"/>
        </w:numPr>
        <w:shd w:val="clear" w:color="auto" w:fill="00397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hyperlink r:id="rId6" w:history="1">
        <w:r w:rsidRPr="00D51388">
          <w:rPr>
            <w:rFonts w:ascii="Segoe UI" w:eastAsia="Times New Roman" w:hAnsi="Segoe UI" w:cs="Segoe UI"/>
            <w:caps/>
            <w:color w:val="E9E7E7"/>
            <w:sz w:val="21"/>
            <w:szCs w:val="21"/>
            <w:u w:val="single"/>
            <w:bdr w:val="none" w:sz="0" w:space="0" w:color="auto" w:frame="1"/>
            <w:lang w:eastAsia="en-GB"/>
          </w:rPr>
          <w:t>ACASĂ</w:t>
        </w:r>
      </w:hyperlink>
    </w:p>
    <w:p w14:paraId="3BF3AF8F" w14:textId="77777777" w:rsidR="00D51388" w:rsidRPr="00D51388" w:rsidRDefault="00D51388" w:rsidP="00D51388">
      <w:pPr>
        <w:numPr>
          <w:ilvl w:val="0"/>
          <w:numId w:val="2"/>
        </w:numPr>
        <w:shd w:val="clear" w:color="auto" w:fill="00397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hyperlink r:id="rId7" w:history="1">
        <w:r w:rsidRPr="00D51388">
          <w:rPr>
            <w:rFonts w:ascii="Segoe UI" w:eastAsia="Times New Roman" w:hAnsi="Segoe UI" w:cs="Segoe UI"/>
            <w:caps/>
            <w:color w:val="E9E7E7"/>
            <w:sz w:val="21"/>
            <w:szCs w:val="21"/>
            <w:u w:val="single"/>
            <w:bdr w:val="none" w:sz="0" w:space="0" w:color="auto" w:frame="1"/>
            <w:lang w:eastAsia="en-GB"/>
          </w:rPr>
          <w:t>DESPRE PROIECT</w:t>
        </w:r>
      </w:hyperlink>
    </w:p>
    <w:p w14:paraId="0EA2D0C0" w14:textId="77777777" w:rsidR="00D51388" w:rsidRPr="00D51388" w:rsidRDefault="00D51388" w:rsidP="00D51388">
      <w:pPr>
        <w:numPr>
          <w:ilvl w:val="0"/>
          <w:numId w:val="2"/>
        </w:numPr>
        <w:shd w:val="clear" w:color="auto" w:fill="00397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hyperlink r:id="rId8" w:history="1">
        <w:r w:rsidRPr="00D51388">
          <w:rPr>
            <w:rFonts w:ascii="Segoe UI" w:eastAsia="Times New Roman" w:hAnsi="Segoe UI" w:cs="Segoe UI"/>
            <w:caps/>
            <w:color w:val="E9E7E7"/>
            <w:sz w:val="21"/>
            <w:szCs w:val="21"/>
            <w:u w:val="single"/>
            <w:bdr w:val="none" w:sz="0" w:space="0" w:color="auto" w:frame="1"/>
            <w:lang w:eastAsia="en-GB"/>
          </w:rPr>
          <w:t>FACILITĂȚI OFERITE</w:t>
        </w:r>
      </w:hyperlink>
    </w:p>
    <w:p w14:paraId="172F1A63" w14:textId="77777777" w:rsidR="00D51388" w:rsidRPr="00D51388" w:rsidRDefault="00D51388" w:rsidP="00D51388">
      <w:pPr>
        <w:numPr>
          <w:ilvl w:val="0"/>
          <w:numId w:val="2"/>
        </w:numPr>
        <w:shd w:val="clear" w:color="auto" w:fill="003971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hyperlink r:id="rId9" w:history="1">
        <w:r w:rsidRPr="00D51388">
          <w:rPr>
            <w:rFonts w:ascii="Segoe UI" w:eastAsia="Times New Roman" w:hAnsi="Segoe UI" w:cs="Segoe UI"/>
            <w:caps/>
            <w:color w:val="E9E7E7"/>
            <w:sz w:val="21"/>
            <w:szCs w:val="21"/>
            <w:u w:val="single"/>
            <w:bdr w:val="none" w:sz="0" w:space="0" w:color="auto" w:frame="1"/>
            <w:lang w:eastAsia="en-GB"/>
          </w:rPr>
          <w:t>LEGĂTURI UTILE</w:t>
        </w:r>
      </w:hyperlink>
    </w:p>
    <w:p w14:paraId="05140A21" w14:textId="77777777" w:rsidR="00D51388" w:rsidRPr="00D51388" w:rsidRDefault="00D51388" w:rsidP="00D51388">
      <w:pPr>
        <w:pBdr>
          <w:bottom w:val="single" w:sz="36" w:space="0" w:color="BB3A3A"/>
        </w:pBdr>
        <w:shd w:val="clear" w:color="auto" w:fill="FFFFFF"/>
        <w:spacing w:line="450" w:lineRule="atLeast"/>
        <w:jc w:val="both"/>
        <w:textAlignment w:val="baseline"/>
        <w:outlineLvl w:val="0"/>
        <w:rPr>
          <w:rFonts w:ascii="garamond_premier_promedium" w:eastAsia="Times New Roman" w:hAnsi="garamond_premier_promedium" w:cs="Times New Roman"/>
          <w:b/>
          <w:bCs/>
          <w:smallCaps/>
          <w:color w:val="112F5D"/>
          <w:kern w:val="36"/>
          <w:sz w:val="45"/>
          <w:szCs w:val="45"/>
          <w:lang w:eastAsia="en-GB"/>
        </w:rPr>
      </w:pPr>
      <w:proofErr w:type="spellStart"/>
      <w:r w:rsidRPr="00D51388">
        <w:rPr>
          <w:rFonts w:ascii="garamond_premier_promedium" w:eastAsia="Times New Roman" w:hAnsi="garamond_premier_promedium" w:cs="Times New Roman"/>
          <w:b/>
          <w:bCs/>
          <w:smallCaps/>
          <w:color w:val="112F5D"/>
          <w:kern w:val="36"/>
          <w:sz w:val="45"/>
          <w:szCs w:val="45"/>
          <w:lang w:eastAsia="en-GB"/>
        </w:rPr>
        <w:t>Cuprins</w:t>
      </w:r>
      <w:proofErr w:type="spellEnd"/>
    </w:p>
    <w:p w14:paraId="6CD5565F" w14:textId="77777777" w:rsidR="00D51388" w:rsidRPr="00D51388" w:rsidRDefault="00D51388" w:rsidP="00D5138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D51388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en-GB"/>
        </w:rPr>
        <w:t>+</w:t>
      </w:r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b/>
          <w:bCs/>
          <w:color w:val="3C3636"/>
          <w:sz w:val="17"/>
          <w:szCs w:val="17"/>
          <w:bdr w:val="none" w:sz="0" w:space="0" w:color="auto" w:frame="1"/>
          <w:lang w:eastAsia="en-GB"/>
        </w:rPr>
        <w:t>Fișă</w:t>
      </w:r>
      <w:proofErr w:type="spellEnd"/>
      <w:r w:rsidRPr="00D51388">
        <w:rPr>
          <w:rFonts w:ascii="inherit" w:eastAsia="Times New Roman" w:hAnsi="inherit" w:cs="Times New Roman"/>
          <w:b/>
          <w:bCs/>
          <w:color w:val="3C3636"/>
          <w:sz w:val="17"/>
          <w:szCs w:val="17"/>
          <w:bdr w:val="none" w:sz="0" w:space="0" w:color="auto" w:frame="1"/>
          <w:lang w:eastAsia="en-GB"/>
        </w:rPr>
        <w:t xml:space="preserve"> act</w:t>
      </w:r>
    </w:p>
    <w:p w14:paraId="4F5F782A" w14:textId="77777777" w:rsidR="00D51388" w:rsidRPr="00D51388" w:rsidRDefault="00D51388" w:rsidP="00D51388">
      <w:pPr>
        <w:pBdr>
          <w:bottom w:val="single" w:sz="18" w:space="0" w:color="BB3A3A"/>
        </w:pBdr>
        <w:shd w:val="clear" w:color="auto" w:fill="FFFFFF"/>
        <w:spacing w:after="0" w:line="240" w:lineRule="auto"/>
        <w:jc w:val="both"/>
        <w:textAlignment w:val="baseline"/>
        <w:rPr>
          <w:rFonts w:ascii="EB Garamond" w:eastAsia="Times New Roman" w:hAnsi="EB Garamond" w:cs="Times New Roman"/>
          <w:smallCaps/>
          <w:color w:val="112F5D"/>
          <w:sz w:val="27"/>
          <w:szCs w:val="27"/>
          <w:lang w:eastAsia="en-GB"/>
        </w:rPr>
      </w:pPr>
      <w:proofErr w:type="spellStart"/>
      <w:r w:rsidRPr="00D51388">
        <w:rPr>
          <w:rFonts w:ascii="EB Garamond" w:eastAsia="Times New Roman" w:hAnsi="EB Garamond" w:cs="Times New Roman"/>
          <w:smallCaps/>
          <w:color w:val="112F5D"/>
          <w:sz w:val="27"/>
          <w:szCs w:val="27"/>
          <w:lang w:eastAsia="en-GB"/>
        </w:rPr>
        <w:t>Cuprinsul</w:t>
      </w:r>
      <w:proofErr w:type="spellEnd"/>
      <w:r w:rsidRPr="00D51388">
        <w:rPr>
          <w:rFonts w:ascii="EB Garamond" w:eastAsia="Times New Roman" w:hAnsi="EB Garamond" w:cs="Times New Roman"/>
          <w:smallCaps/>
          <w:color w:val="112F5D"/>
          <w:sz w:val="27"/>
          <w:szCs w:val="27"/>
          <w:lang w:eastAsia="en-GB"/>
        </w:rPr>
        <w:t xml:space="preserve"> </w:t>
      </w:r>
      <w:proofErr w:type="spellStart"/>
      <w:r w:rsidRPr="00D51388">
        <w:rPr>
          <w:rFonts w:ascii="EB Garamond" w:eastAsia="Times New Roman" w:hAnsi="EB Garamond" w:cs="Times New Roman"/>
          <w:smallCaps/>
          <w:color w:val="112F5D"/>
          <w:sz w:val="27"/>
          <w:szCs w:val="27"/>
          <w:lang w:eastAsia="en-GB"/>
        </w:rPr>
        <w:t>Actului</w:t>
      </w:r>
      <w:proofErr w:type="spellEnd"/>
    </w:p>
    <w:p w14:paraId="1C91D4A0" w14:textId="77777777" w:rsidR="00D51388" w:rsidRPr="00D51388" w:rsidRDefault="00D51388" w:rsidP="00D51388">
      <w:pPr>
        <w:shd w:val="clear" w:color="auto" w:fill="FFFFFF"/>
        <w:spacing w:before="75" w:after="0" w:line="240" w:lineRule="auto"/>
        <w:ind w:left="495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pentru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aprobarea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Ordonanței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de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urgență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a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Guvernului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nr. 23/2008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privind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pescuitul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și</w:t>
      </w:r>
      <w:proofErr w:type="spell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acvacultura</w:t>
      </w:r>
      <w:proofErr w:type="spellEnd"/>
    </w:p>
    <w:p w14:paraId="2196D126" w14:textId="77777777" w:rsidR="00D51388" w:rsidRPr="00D51388" w:rsidRDefault="00D51388" w:rsidP="00D51388">
      <w:pPr>
        <w:numPr>
          <w:ilvl w:val="0"/>
          <w:numId w:val="3"/>
        </w:numPr>
        <w:spacing w:after="0" w:line="240" w:lineRule="auto"/>
        <w:ind w:left="495"/>
        <w:jc w:val="both"/>
        <w:textAlignment w:val="baseline"/>
        <w:rPr>
          <w:rFonts w:ascii="Verdana" w:eastAsia="Times New Roman" w:hAnsi="Verdana" w:cs="Times New Roman"/>
          <w:color w:val="3C3636"/>
          <w:sz w:val="17"/>
          <w:szCs w:val="17"/>
          <w:lang w:eastAsia="en-GB"/>
        </w:rPr>
      </w:pPr>
      <w:hyperlink r:id="rId10" w:anchor="id_artA12_ttl" w:history="1">
        <w:proofErr w:type="spellStart"/>
        <w:r w:rsidRPr="00D51388">
          <w:rPr>
            <w:rFonts w:ascii="inherit" w:eastAsia="Times New Roman" w:hAnsi="inherit" w:cs="Times New Roman"/>
            <w:b/>
            <w:bCs/>
            <w:color w:val="BB3A3A"/>
            <w:sz w:val="20"/>
            <w:szCs w:val="20"/>
            <w:u w:val="single"/>
            <w:bdr w:val="none" w:sz="0" w:space="0" w:color="auto" w:frame="1"/>
            <w:lang w:eastAsia="en-GB"/>
          </w:rPr>
          <w:t>Articolul</w:t>
        </w:r>
        <w:proofErr w:type="spellEnd"/>
        <w:r w:rsidRPr="00D51388">
          <w:rPr>
            <w:rFonts w:ascii="inherit" w:eastAsia="Times New Roman" w:hAnsi="inherit" w:cs="Times New Roman"/>
            <w:b/>
            <w:bCs/>
            <w:color w:val="BB3A3A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 I</w:t>
        </w:r>
      </w:hyperlink>
    </w:p>
    <w:p w14:paraId="31E25C2C" w14:textId="77777777" w:rsidR="00D51388" w:rsidRPr="00D51388" w:rsidRDefault="00D51388" w:rsidP="00D51388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hyperlink r:id="rId11" w:anchor="id_artA294_ttl" w:history="1">
        <w:proofErr w:type="spellStart"/>
        <w:r w:rsidRPr="00D51388">
          <w:rPr>
            <w:rFonts w:ascii="inherit" w:eastAsia="Times New Roman" w:hAnsi="inherit" w:cs="Times New Roman"/>
            <w:color w:val="3C3636"/>
            <w:sz w:val="20"/>
            <w:szCs w:val="20"/>
            <w:u w:val="single"/>
            <w:bdr w:val="none" w:sz="0" w:space="0" w:color="auto" w:frame="1"/>
            <w:lang w:eastAsia="en-GB"/>
          </w:rPr>
          <w:t>Articolul</w:t>
        </w:r>
        <w:proofErr w:type="spellEnd"/>
        <w:r w:rsidRPr="00D51388">
          <w:rPr>
            <w:rFonts w:ascii="inherit" w:eastAsia="Times New Roman" w:hAnsi="inherit" w:cs="Times New Roman"/>
            <w:color w:val="3C3636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 II</w:t>
        </w:r>
      </w:hyperlink>
    </w:p>
    <w:p w14:paraId="53F6D4C2" w14:textId="77777777" w:rsidR="00D51388" w:rsidRPr="00D51388" w:rsidRDefault="00D51388" w:rsidP="00D51388">
      <w:pPr>
        <w:shd w:val="clear" w:color="auto" w:fill="FFFFFF"/>
        <w:spacing w:after="0" w:line="240" w:lineRule="auto"/>
        <w:ind w:left="495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p. PREȘEDINTELE CAMEREI </w:t>
      </w:r>
      <w:proofErr w:type="gramStart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DEPUTAȚILOR,DANIELA</w:t>
      </w:r>
      <w:proofErr w:type="gramEnd"/>
      <w:r w:rsidRPr="00D51388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POPAPREȘEDINTELE SENATULUIMIRCEA-DAN GEOANĂ</w:t>
      </w:r>
    </w:p>
    <w:p w14:paraId="3F4CE8F9" w14:textId="77777777" w:rsidR="00D51388" w:rsidRPr="00D51388" w:rsidRDefault="00D51388" w:rsidP="00D5138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hyperlink r:id="rId12" w:anchor="top" w:history="1">
        <w:proofErr w:type="spellStart"/>
        <w:r w:rsidRPr="00D51388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lang w:eastAsia="en-GB"/>
          </w:rPr>
          <w:t>Reveniti</w:t>
        </w:r>
        <w:proofErr w:type="spellEnd"/>
        <w:r w:rsidRPr="00D51388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lang w:eastAsia="en-GB"/>
          </w:rPr>
          <w:t xml:space="preserve"> in </w:t>
        </w:r>
        <w:proofErr w:type="spellStart"/>
        <w:r w:rsidRPr="00D51388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lang w:eastAsia="en-GB"/>
          </w:rPr>
          <w:t>topul</w:t>
        </w:r>
        <w:proofErr w:type="spellEnd"/>
        <w:r w:rsidRPr="00D51388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D51388">
          <w:rPr>
            <w:rFonts w:ascii="inherit" w:eastAsia="Times New Roman" w:hAnsi="inherit" w:cs="Times New Roman"/>
            <w:color w:val="999999"/>
            <w:sz w:val="18"/>
            <w:szCs w:val="18"/>
            <w:u w:val="single"/>
            <w:bdr w:val="none" w:sz="0" w:space="0" w:color="auto" w:frame="1"/>
            <w:lang w:eastAsia="en-GB"/>
          </w:rPr>
          <w:t>paginii</w:t>
        </w:r>
        <w:proofErr w:type="spellEnd"/>
      </w:hyperlink>
    </w:p>
    <w:p w14:paraId="049271C7" w14:textId="77777777" w:rsidR="00D51388" w:rsidRPr="00D51388" w:rsidRDefault="00D51388" w:rsidP="00D51388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hyperlink r:id="rId13" w:tgtFrame="_blank" w:history="1">
        <w:r w:rsidRPr="00D51388">
          <w:rPr>
            <w:rFonts w:ascii="inherit" w:eastAsia="Times New Roman" w:hAnsi="inherit" w:cs="Times New Roman"/>
            <w:color w:val="FFFFFF"/>
            <w:sz w:val="18"/>
            <w:szCs w:val="18"/>
            <w:u w:val="single"/>
            <w:bdr w:val="single" w:sz="6" w:space="1" w:color="357EBD" w:frame="1"/>
            <w:shd w:val="clear" w:color="auto" w:fill="428BCA"/>
            <w:lang w:eastAsia="en-GB"/>
          </w:rPr>
          <w:t xml:space="preserve"> Forma </w:t>
        </w:r>
        <w:proofErr w:type="spellStart"/>
        <w:r w:rsidRPr="00D51388">
          <w:rPr>
            <w:rFonts w:ascii="inherit" w:eastAsia="Times New Roman" w:hAnsi="inherit" w:cs="Times New Roman"/>
            <w:color w:val="FFFFFF"/>
            <w:sz w:val="18"/>
            <w:szCs w:val="18"/>
            <w:u w:val="single"/>
            <w:bdr w:val="single" w:sz="6" w:space="1" w:color="357EBD" w:frame="1"/>
            <w:shd w:val="clear" w:color="auto" w:fill="428BCA"/>
            <w:lang w:eastAsia="en-GB"/>
          </w:rPr>
          <w:t>printabilă</w:t>
        </w:r>
        <w:proofErr w:type="spellEnd"/>
      </w:hyperlink>
    </w:p>
    <w:p w14:paraId="01238031" w14:textId="77777777" w:rsidR="00D51388" w:rsidRPr="00D51388" w:rsidRDefault="00D51388" w:rsidP="00D5138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en-GB"/>
        </w:rPr>
      </w:pPr>
      <w:r w:rsidRPr="00D51388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lang w:eastAsia="en-GB"/>
        </w:rPr>
        <w:t xml:space="preserve">LEGE nr. 317 din 13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lang w:eastAsia="en-GB"/>
        </w:rPr>
        <w:t>octombrie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30"/>
          <w:szCs w:val="30"/>
          <w:bdr w:val="none" w:sz="0" w:space="0" w:color="auto" w:frame="1"/>
          <w:lang w:eastAsia="en-GB"/>
        </w:rPr>
        <w:t xml:space="preserve"> 2009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 xml:space="preserve">pentru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aprobarea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 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fldChar w:fldCharType="begin"/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instrText xml:space="preserve"> HYPERLINK "https://legislatie.just.ro/Public/DetaliiDocumentAfis/90207" </w:instrTex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fldChar w:fldCharType="separate"/>
      </w:r>
      <w:r w:rsidRPr="00D51388">
        <w:rPr>
          <w:rFonts w:ascii="Verdana" w:eastAsia="Times New Roman" w:hAnsi="Verdana" w:cs="Times New Roman"/>
          <w:b/>
          <w:bCs/>
          <w:color w:val="428BCA"/>
          <w:sz w:val="17"/>
          <w:szCs w:val="17"/>
          <w:u w:val="single"/>
          <w:bdr w:val="none" w:sz="0" w:space="0" w:color="auto" w:frame="1"/>
          <w:lang w:eastAsia="en-GB"/>
        </w:rPr>
        <w:t>Ordonanței</w:t>
      </w:r>
      <w:proofErr w:type="spellEnd"/>
      <w:r w:rsidRPr="00D51388">
        <w:rPr>
          <w:rFonts w:ascii="Verdana" w:eastAsia="Times New Roman" w:hAnsi="Verdana" w:cs="Times New Roman"/>
          <w:b/>
          <w:bCs/>
          <w:color w:val="428BCA"/>
          <w:sz w:val="17"/>
          <w:szCs w:val="17"/>
          <w:u w:val="single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428BCA"/>
          <w:sz w:val="17"/>
          <w:szCs w:val="17"/>
          <w:u w:val="single"/>
          <w:bdr w:val="none" w:sz="0" w:space="0" w:color="auto" w:frame="1"/>
          <w:lang w:eastAsia="en-GB"/>
        </w:rPr>
        <w:t>urgență</w:t>
      </w:r>
      <w:proofErr w:type="spellEnd"/>
      <w:r w:rsidRPr="00D51388">
        <w:rPr>
          <w:rFonts w:ascii="Verdana" w:eastAsia="Times New Roman" w:hAnsi="Verdana" w:cs="Times New Roman"/>
          <w:b/>
          <w:bCs/>
          <w:color w:val="428BCA"/>
          <w:sz w:val="17"/>
          <w:szCs w:val="17"/>
          <w:u w:val="single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428BCA"/>
          <w:sz w:val="17"/>
          <w:szCs w:val="17"/>
          <w:u w:val="single"/>
          <w:bdr w:val="none" w:sz="0" w:space="0" w:color="auto" w:frame="1"/>
          <w:lang w:eastAsia="en-GB"/>
        </w:rPr>
        <w:t>Guvernului</w:t>
      </w:r>
      <w:proofErr w:type="spellEnd"/>
      <w:r w:rsidRPr="00D51388">
        <w:rPr>
          <w:rFonts w:ascii="Verdana" w:eastAsia="Times New Roman" w:hAnsi="Verdana" w:cs="Times New Roman"/>
          <w:b/>
          <w:bCs/>
          <w:color w:val="428BCA"/>
          <w:sz w:val="17"/>
          <w:szCs w:val="17"/>
          <w:u w:val="single"/>
          <w:bdr w:val="none" w:sz="0" w:space="0" w:color="auto" w:frame="1"/>
          <w:lang w:eastAsia="en-GB"/>
        </w:rPr>
        <w:t xml:space="preserve"> nr. 23/2008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fldChar w:fldCharType="end"/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 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privind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pescuitul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acvacultura</w:t>
      </w:r>
      <w:proofErr w:type="spellEnd"/>
    </w:p>
    <w:tbl>
      <w:tblPr>
        <w:tblW w:w="935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387"/>
      </w:tblGrid>
      <w:tr w:rsidR="00D51388" w:rsidRPr="00D51388" w14:paraId="28FA5AA1" w14:textId="77777777" w:rsidTr="00D513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8150" w14:textId="77777777" w:rsidR="00D51388" w:rsidRPr="00D51388" w:rsidRDefault="00D51388" w:rsidP="00D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513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2A5AC" w14:textId="77777777" w:rsidR="00D51388" w:rsidRPr="00D51388" w:rsidRDefault="00D51388" w:rsidP="00D5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D51388">
              <w:rPr>
                <w:rFonts w:ascii="Verdana" w:eastAsia="Times New Roman" w:hAnsi="Symbol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  <w:lang w:eastAsia="en-GB"/>
              </w:rPr>
              <w:t></w:t>
            </w:r>
            <w:r w:rsidRPr="00D51388">
              <w:rPr>
                <w:rFonts w:ascii="Verdana" w:eastAsia="Times New Roman" w:hAnsi="Verdana" w:cs="Times New Roman"/>
                <w:b/>
                <w:bCs/>
                <w:color w:val="006400"/>
                <w:sz w:val="18"/>
                <w:szCs w:val="18"/>
                <w:bdr w:val="none" w:sz="0" w:space="0" w:color="auto" w:frame="1"/>
                <w:lang w:eastAsia="en-GB"/>
              </w:rPr>
              <w:t xml:space="preserve">  PARLAMENTUL</w:t>
            </w:r>
            <w:proofErr w:type="gramEnd"/>
          </w:p>
        </w:tc>
      </w:tr>
    </w:tbl>
    <w:p w14:paraId="27738D3C" w14:textId="77777777" w:rsidR="00D51388" w:rsidRPr="00D51388" w:rsidRDefault="00D51388" w:rsidP="00D51388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en-GB"/>
        </w:rPr>
      </w:pPr>
      <w:proofErr w:type="spellStart"/>
      <w:r w:rsidRPr="00D513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Publicat</w:t>
      </w:r>
      <w:proofErr w:type="spellEnd"/>
      <w:r w:rsidRPr="00D513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en-GB"/>
        </w:rPr>
        <w:t>  </w:t>
      </w:r>
      <w:r w:rsidRPr="00D51388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lang w:eastAsia="en-GB"/>
        </w:rPr>
        <w:t>MONITORUL</w:t>
      </w:r>
      <w:proofErr w:type="gramEnd"/>
      <w:r w:rsidRPr="00D51388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lang w:eastAsia="en-GB"/>
        </w:rPr>
        <w:t xml:space="preserve"> OFICIAL nr. 708 din 21 </w:t>
      </w:r>
      <w:proofErr w:type="spellStart"/>
      <w:r w:rsidRPr="00D51388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lang w:eastAsia="en-GB"/>
        </w:rPr>
        <w:t>octombrie</w:t>
      </w:r>
      <w:proofErr w:type="spellEnd"/>
      <w:r w:rsidRPr="00D51388">
        <w:rPr>
          <w:rFonts w:ascii="Verdana" w:eastAsia="Times New Roman" w:hAnsi="Verdana" w:cs="Arial"/>
          <w:b/>
          <w:bCs/>
          <w:color w:val="00008B"/>
          <w:sz w:val="18"/>
          <w:szCs w:val="18"/>
          <w:bdr w:val="none" w:sz="0" w:space="0" w:color="auto" w:frame="1"/>
          <w:lang w:eastAsia="en-GB"/>
        </w:rPr>
        <w:t xml:space="preserve"> 2009</w:t>
      </w:r>
      <w:r w:rsidRPr="00D5138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br/>
      </w:r>
      <w:r w:rsidRPr="00D5138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br/>
      </w:r>
      <w:r w:rsidRPr="00D5138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br/>
      </w:r>
      <w:r w:rsidRPr="00D5138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en-GB"/>
        </w:rPr>
        <w:br/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Parlamentul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României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adoptă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prezenta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lege.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I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aprobă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instrText xml:space="preserve"> HYPERLINK "https://legislatie.just.ro/Public/DetaliiDocumentAfis/90207" </w:instrTex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>Ordonanța</w:t>
      </w:r>
      <w:proofErr w:type="spellEnd"/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>urgență</w:t>
      </w:r>
      <w:proofErr w:type="spellEnd"/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>Guvernului</w:t>
      </w:r>
      <w:proofErr w:type="spellEnd"/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 xml:space="preserve"> nr. 23 din 5 </w:t>
      </w:r>
      <w:proofErr w:type="spellStart"/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>martie</w:t>
      </w:r>
      <w:proofErr w:type="spellEnd"/>
      <w:r w:rsidRPr="00D51388">
        <w:rPr>
          <w:rFonts w:ascii="inherit" w:eastAsia="Times New Roman" w:hAnsi="inherit" w:cs="Times New Roman"/>
          <w:color w:val="428BCA"/>
          <w:sz w:val="23"/>
          <w:szCs w:val="23"/>
          <w:u w:val="single"/>
          <w:bdr w:val="none" w:sz="0" w:space="0" w:color="auto" w:frame="1"/>
          <w:lang w:eastAsia="en-GB"/>
        </w:rPr>
        <w:t xml:space="preserve"> 2008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fldChar w:fldCharType="end"/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publicată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Monitorul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Oficial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României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I, nr. 180 din 10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martie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2008,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următoarele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completări: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ordonanță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urgență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protecția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când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realizează: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b), f)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j)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protecția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vii;......................................................................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prelucrarea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acvacultură;......................................................................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relațiile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acvaculturii;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k) se introduce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l),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privatizarea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piscicol.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(3)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alineat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(4),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(4)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aplicare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prevăzute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. (2)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realizează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instituție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publică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interes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organ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publice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centrale,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personalitate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juridică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finanțată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integral de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bugetul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stat,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funcționează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subordinea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publice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centrale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răspunde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sediul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municipiul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București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ale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structură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funcționare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hotărâre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Guvernului.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2.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reprezentată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heleșteu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realizat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săpătură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umplutură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înconjurat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total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parțial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diguri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prevăzut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alimentare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evacuare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perimetrale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dotat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construcții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hidrotehnice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instalații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alimentare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reținere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evacuare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apei;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iaz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realizat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văi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baraj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prevăzut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instalații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hidrotehnice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deversarea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evacuarea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apei;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reproducere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artificială;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vivieră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flotabilă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instalație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plutitoare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alcătuită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dintr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-un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cadru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poliedric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pereți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plasă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destinată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creșterii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acumulare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acvacultura;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instalații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destinate acvaculturii;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3.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teritorială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lunca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inundabilă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Dunării;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complexul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lagunar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Razelm-Sinoe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litorale;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pâraiele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râurile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colinare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șes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lor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inundabile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brațele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moarte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râurilor;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bălțile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lipsite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instalații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hidrotehnice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alimentarea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evacuarea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apei;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acumulare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lor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inundabile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viituri;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rețeaua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magistrale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sistemele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hidroameliorative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navigație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hidroenergetice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ramificațiile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acestora;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maritime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interioare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teritorială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zona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contiguă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zona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economică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exclusivă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României;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7-9, 11-13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18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7.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captură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cantitatea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recoltate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exprimată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kilograme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număr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exemplare;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8.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primă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locul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efectuează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prima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pescuit;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9.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captura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totală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admisibilă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fiecare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specie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grup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care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alocă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fizice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juridice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desfășoare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comercial;......................................................................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11.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exploatare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durabilă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metode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procedee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asigure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biodiversitatea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termen lung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ecosistemelor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naturale;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12.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Fișierul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documentul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înregistrate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categorii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dimensiune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puterea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motorului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tipul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tehnica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zona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proprietarul;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13.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inspector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control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respectarea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legislației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cadrul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Acvacultură;.....................................................................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18.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pescuit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extragere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respectarea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protejarea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regenerarea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18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18^1,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cuprins:"18^1.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științific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extragerea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vii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conform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planului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anual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aprobat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perioadă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</w:t>
      </w:r>
      <w:proofErr w:type="gram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anului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inclusiv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perioadele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prohibiție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zonă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specie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acvatică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vârstă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dimensiune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utilizarea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oricăror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metode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unelte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dispozitive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plase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atât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timpul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zilei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cât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timpul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nopții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speciale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scop științific;".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24, 25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27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24.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punct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debarcare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locul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descarcă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expedierii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centrele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primă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vânzare;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25.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destinate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consumului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uman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disponibile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accesibile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României;.....................................................................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27.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pescar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profesionist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fizică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atestată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conform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practice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comercial;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27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27^1,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cuprins:"27^1.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pescar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persoana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fizică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deținătoare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permis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eliberat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asociațiile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pescari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sportivi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legal constituite;".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28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29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28.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certifică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faptul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îndeplinește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desfășurarea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comercial;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29.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fizică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juridică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exercite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pescuit;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31, 34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35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37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cuprins:"37.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plasă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tip monofilament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plasă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formată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din fire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polimerice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netorsionate;".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38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punctele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39-47,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39.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durabilă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40.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totalitatea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existente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un moment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într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-o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piscicolă;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41.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specie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introdusă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specie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introdusă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intenționat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accidental de om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într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-un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diferit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natural;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42.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furt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infracțională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furtul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efectivului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tot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parte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mijloace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metode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piscicole;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43.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braconaj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contravențională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infracțională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fără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naturale;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44.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porțiunea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delimitată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semne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vizibile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hidrografic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pescuitului;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45.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refacere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biologică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zona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hidrografic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declin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impune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restricționarea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refacerea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acestora;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46.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interzisă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- zona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delimitată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semne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vizibile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hidrografic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protejată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reproducerii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47.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date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-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totalitatea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informațiilor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flota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efectivele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numărul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operatori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economici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specifice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numărul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federații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numărul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profesioniști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cantitățile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extrase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anual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cantitatea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introdusă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repopulare.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3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Responsabilitatea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definirea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implementarea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politicii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referitoare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existente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pieței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structurile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revine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Elaborarea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strategiei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referitoare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managementul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existente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pieței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structurile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implementarea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aplicării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respectării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acestora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atributul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(3)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(4),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(3)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următoarele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atribuții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principale: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României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excepția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lastRenderedPageBreak/>
        <w:t xml:space="preserve">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Rezervația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", care sunt administrate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Rezervației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",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legii;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privatizează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societățile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profil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care le 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portofoliu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conformitate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prevederile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privatizare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inclusiv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negociere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directă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titularii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contractelor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închiriere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concesionare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arendare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;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efectua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ordonanțe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urgență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contracte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vânzare-cumpărare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contracte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leasing;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concesionează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excepția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teritoriul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Rezervației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", pe care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amplasate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aferente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acestora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public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conformitate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prevederile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încheie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contracte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privatizării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excepția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teritoriul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Rezervației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", pe care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amplasate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aferente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acestora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statului;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elaborează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caietele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sarcini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privatizării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concesionării;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desfășoară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publică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centrală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răspunde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.(4)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delega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protocol,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instituții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publice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statului.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19.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7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7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Ministerul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asigură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specific,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aplicarea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Uniunii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Europene.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Titlul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capitolului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III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Protecția</w:t>
      </w:r>
      <w:proofErr w:type="spellEnd"/>
      <w:proofErr w:type="gram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Titlul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secțiunii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proofErr w:type="gram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naturale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8,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e)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8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Politica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realiza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prin:......................................................................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reglementări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acvacultura;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sistemelor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control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pescuit;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8,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f) se introduce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g),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finanțarea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programelor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popularea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susținere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cercetare-dezvoltare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acvaculturii.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9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9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Accesul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normelor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termen de 90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data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ordonanțe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urgență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urma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consultărilor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Accesul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rezervațiile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atribuie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mod direct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profesioniști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profesionale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profil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administrativ-teritorială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.(3) Pe zona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fi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eliberată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decât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singură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/sportiv.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9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9^1,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9^1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derivațiile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artificiale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curs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reprezentate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brațe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secundare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irigații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tranzitare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revine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titularului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cursul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principal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cazul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regim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neamenajat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schimbă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albia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urmare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evenimente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devieri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artificiale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beneficiarii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inițiale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atât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noua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albie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vechea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albie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rămasă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cât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luciul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eventual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apărea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urmare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îndiguirilor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limitrofe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efectuate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.(3)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Mărirea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suprafeței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luciu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regim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natural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scurgere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urmare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construcției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acumulări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cuveta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determină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extinderea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asupra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întregii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suprafețe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.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Dacă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luciul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lastRenderedPageBreak/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inundă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malurile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posesorul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îndreptățit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pescuiască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perimetrul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inundat.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10,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10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comun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efortului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cota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alocată.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10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d)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10,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(4)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(4)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pot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comun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refacere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29.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(6)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12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studiilor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elaborate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instituțiile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cercetare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științifică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profil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dimensiunile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minime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individuale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reprezintă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care pot fi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capturate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acvatic.......................................................................(6) Ministerul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condiționează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exercitarea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protejate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specifice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rurale.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13,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13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un document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netransmisibil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emis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nave/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desfășoare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conformitate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normele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termen de 90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data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ordonanțe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urgență.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13,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(3)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(4)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16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16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Atribuirea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face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emise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18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18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scopul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utilizării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optime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înființează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Comitetul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consultativ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sectorul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structură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consultativă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lângă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Componența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funcționarea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Comitetului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consultativ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sectorul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rurale.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20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20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(1) 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bordul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trebuie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existe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jurnal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sunt notate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detaliile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termenii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deplasare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portul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punctul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propriu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descărcare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scuti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obligația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bord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jurnalul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nepuntate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Titlul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secțiunii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5-a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proofErr w:type="gram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naturale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23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23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înțelege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efectuat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undița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lanseta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agrement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performanță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nominal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emis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eliberat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termen de 90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data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ordonanțe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urgență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regulamentul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modelele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consultarea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forurile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reprezentare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legal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nivel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.(3)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acumulare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s-au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eliberat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lastRenderedPageBreak/>
        <w:t>regulilor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deținătorul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.(4)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valabil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atât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concesionate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membru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cât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concesionate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reciprocitate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.(5)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cadrul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fiecărei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regulamentului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propriu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sens.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f)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24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În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scopul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asigurării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protecției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evitării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conflictelor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interese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dintre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, astfel:......................................................................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în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salmonide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pot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reține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maximum 10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bucăți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exemplare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/zi,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total,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: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păstrăv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indigen,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păstrăv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curcubeu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fântânel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lipan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coregon.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39.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25,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25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juridice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nonprofit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legal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forurile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lor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reprezentare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nivel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principiul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liberei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asocieri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fi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luate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evidență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reprezentanți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societății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civile,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programe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acțiuni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proiecte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comune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conservarea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protejarea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28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28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Membrii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trebuie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s-au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respectarea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prevederilor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scopul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îmbunătățirii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calității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adaptării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volumului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ofertei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cerințele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pieței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îmbunătățirii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comercializare.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30,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30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Recunoașterea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producători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face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31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31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Asociațiile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profesioniști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entități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asociative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legal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sindicale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personalului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sector au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statutul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entități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reprezentative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consultativ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adoptare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deciziilor.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împreună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Română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modul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operare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funcționare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Fișierului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pescuit.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face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eliberarea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construcție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emisă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președintele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Română.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35,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(3)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(3)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Lucrările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modernizare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reconversie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Rurale.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36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36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În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scopul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adaptării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flotei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situația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opri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temporar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definitiv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anumitor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nave/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rurale.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39,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39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Portul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acela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începe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expediere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capturilor.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39,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(3)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49.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40,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40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descarcă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teritoriul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trebuie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facă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porturi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puncte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nominalizate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sens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Rurale.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41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Prima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face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locurile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41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41^1,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41^1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Porturile/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punctele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debarcare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centrele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primă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nominalizate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normelor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rurale.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42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42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Produsele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obiectul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primei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într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-un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loc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situat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afara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portului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descărcare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trebuie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fie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transportate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înainte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a se produce prima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însoțite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până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locul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primei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documentele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însoțire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mărfii.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43,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(3)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43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piscicole......................................................................(3) Folosirea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face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legislației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apei.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44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e)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:"e)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măsurilor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bune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practici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procesele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tehnologice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asigurarea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biosecurității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siguranței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alimentare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din acvacultură;".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44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trei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j)-l),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protejarea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încurajarea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producătorilor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specifice;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k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promovarea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programe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învățământ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formarea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piscicultorilor;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criteriilor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omologare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pepinierilor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pot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material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populare.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44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:"(2)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realizare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politicilor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dezvoltarea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urmăresc:".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45,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(4)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(4)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Înscrierea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Registrul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unităților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eliberarea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realizează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46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46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Introducerea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provenite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state, se face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avizul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prealabil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carantină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se impun.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59.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46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46^1,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46^1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impulsionarea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proprietate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care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construite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inclusiv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instalațiile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amplasate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uscat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vinde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direct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proprietarilor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Prețul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fi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prețul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pieței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raport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evaluare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întocmit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un evaluator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funcție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bonitatea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înainte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a fi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.(3)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Prețul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achita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rate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proprietarii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următoarele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avans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20%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prețul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vânzare;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rate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semestriale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eșalonate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un termen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până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10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ani;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perceperea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dobânzi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anuale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nivelul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ratei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lunare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dobânzii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referință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Băncii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României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data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.(4)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numele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solicita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cumpărătorului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garanții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asigurarea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plății: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scrisoare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garanție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emisă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bancă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;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ipoteci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terenul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face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obiectul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vânzării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până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achitarea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totalitate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plății.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47,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47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Ministerul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prelucrarea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lastRenderedPageBreak/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special pentru:......................................................................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încurajarea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sprijinirea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prelucrării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pescărești;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48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49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49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Este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interzisă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origine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proveniență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căror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mărime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greutate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decât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prevăzută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căror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mod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nu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conformitate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normele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contravine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normelor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sanitar-veterinare.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50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50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Unitatea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este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înregistrată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Registrul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unităților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primește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fabricație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emisă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conformitate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normele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elaborate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rurale.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50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50^1,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50^1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scopul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măririi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gradului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utilizare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materiei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prime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creștere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valorii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încurajate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sprijinite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Guvern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sprijinire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îndreptate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mod special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spre: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diversificarea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îmbunătățirea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calității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introducerea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tehnologii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noi;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folosirea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excedentare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subutilizate;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utilizarea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subproduselor;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încurajarea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profesionale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interprofesionale;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reducerea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impactului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asupra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înconjurător.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51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b)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eliberează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cerere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științific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netransmisibilă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instituțiilor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cercetare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au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obiective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cercetare:.....................................................................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evaluarea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impactului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asupra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ecosistemelor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antropice;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51,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(4)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: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acordare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științific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propunerea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Acvacultură......................................................................(4) Periodic,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colaborare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instituțiile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cercetare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strategia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obiectivele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cercetării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anual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planul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cercetare.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51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51^1,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51^1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Titularul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științific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eliberează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ordine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serviciu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pescarilor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atestați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științific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conform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planului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cercetare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aprobat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.(2)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științific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metode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echipamente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interzise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exercită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strict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prezența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personalului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cercetare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special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desemnat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deținătorul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scop științific.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(2)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52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colaborarea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inițiază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proiecte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convenții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acorduri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privind:......................................................................(2) Ministerul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emite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reglementări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instrucțiuni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implementarea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politicii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comune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pescuitului.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69.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54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54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Agenția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sprijinul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Ministerului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manifestări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întâlniri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participă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entități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organizații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specializate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acvaculturii.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56,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(3)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56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(1)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asigura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respectarea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legislației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domeniul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transportului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pescărești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lastRenderedPageBreak/>
        <w:t xml:space="preserve">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conexe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organizează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acțiuni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permanente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control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inspectorii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piscicoli.......................................................................(3) Procedura de control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procedura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stabilesc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57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58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58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Următoarele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fapte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contravenție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sancționează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300 lei la 600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lei: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oricăror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efectuat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fără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neprezentarea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atunci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când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acestea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solicitate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împuternicite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constate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contravențiile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infracțiunile;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încălcarea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prevăzute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licență;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sub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dimensiunile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legale.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59,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59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Următoarele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fapte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contravenții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sancționează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600 lei la 1.000 lei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suspendarea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perioadă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90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permisului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caz:.....................................................................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reținerea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singură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practică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mult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10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bucăți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exemplare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/zi,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total,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păstrăv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lipan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coregon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apele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mult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5 kg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/zi din zona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colinară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șes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excepția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cazului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s-a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singur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exemplar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cărui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greutate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depășește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5 kg;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59,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e) se introduce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f),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metode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mijloace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perioada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prohibiție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protecție.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60,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a)-d)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plasarea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uneltelor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fixe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derivă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mult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treimi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lățimea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râurilor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canalelor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Dunării;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utilizarea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setcilor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avelor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fel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cadrul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complexului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lagunar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Razelm-Sinoe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ghiolurile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Belciuc-erenciuc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litorale;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neducerea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îndeplinire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termenele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condițiile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stabilite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măsurilor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dispuse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personalul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control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inspecție;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capturarea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plasă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pripoane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râurile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lacurile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zona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munte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râurile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colinare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șes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excepția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Prutului;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61,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b)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introducerea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fără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avizul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specii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decât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existente;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nedeținerea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desfășurarea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activității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acvacultură.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62,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b)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bord,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transbordarea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descărcarea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 sub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dimensiunea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minimă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legală;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refuzul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permite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accesul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personalului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navelor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autovehiculelor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unităților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unităților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perimetrul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bazinelor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exploatate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comercial;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63,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:"c)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reducerea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culpă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debitului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cursurile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amenajate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dacă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aceasta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periclitează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existența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vii,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dacă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nu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constituie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infracțiune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potrivit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legii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penale;".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79.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63,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j)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80.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63,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l)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:"l)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scop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cursul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unei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curgătoare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zona de 500 m aval de baraj;".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81.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63,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l) se introduce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m),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circulația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autovehiculelor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tip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transportul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mijloace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buștenilor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albia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minoră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râurilor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pâraielor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zona de munte.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82.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introductivă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a), c), 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 xml:space="preserve">d)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g)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64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Următoarele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fapte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constituie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infracțiuni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sancționează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amendă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la 6.000 lei la 10.000 lei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interzicerea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 o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perioadă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cuprinsă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între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1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3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ani: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nedeținerea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licenței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autorizației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recreativ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/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sportiv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procesare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caz;......................................................................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pescuitul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neautorizat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sturionilor;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</w:t>
      </w:r>
      <w:proofErr w:type="spell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transportul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sturionilor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subproduselor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sturioni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fără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documente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marcaje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justificative legale;......................................................................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pescuitul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habitatele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naturale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metode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mijloace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viețuitoare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perioada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prohibiție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zonele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protecție;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83.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h) se abrogă.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84.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64,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j)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m)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j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transportul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fără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documente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legale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peștelui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icrelor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produselor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obținute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din pescuit;......................................................................</w:t>
      </w:r>
      <w:r w:rsidRPr="00D51388">
        <w:rPr>
          <w:rFonts w:ascii="Verdana" w:eastAsia="Times New Roman" w:hAnsi="Verdana" w:cs="Times New Roman"/>
          <w:b/>
          <w:bCs/>
          <w:color w:val="8B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m)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dotted" w:sz="6" w:space="0" w:color="FEFEFE" w:frame="1"/>
          <w:shd w:val="clear" w:color="auto" w:fill="FFFFE0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producerea,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importul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deținerea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comercializarea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utilizarea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uneltelor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plasă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tip monofilament.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85.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65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litera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b)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:"b)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unelte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scule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neautorizate;".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86.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66,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66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(1) 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supuse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ridicării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vederea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confiscării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uneltele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ambarcațiunile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animalele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mijloacele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transport,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armele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foc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bunuri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care au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fost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folosite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săvârșirea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infracțiunilor.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87.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67,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alineatul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(1)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67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(1) 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lângă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organele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urmărire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competente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constate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infracțiunile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prevăzute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la art. 64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65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persoanele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drept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inspecție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control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cadrul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Gărzii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Mediu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Administrației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Rezervației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"Delta Dunării".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88.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După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68 se introduce un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nou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68^1,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68^1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Furtul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pedepsește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conform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infracțiunii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furt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prevăzute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Codul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penal.</w:t>
      </w:r>
      <w:r w:rsidRPr="00D51388">
        <w:rPr>
          <w:rFonts w:ascii="Verdana" w:eastAsia="Times New Roman" w:hAnsi="Verdana" w:cs="Times New Roman"/>
          <w:b/>
          <w:bCs/>
          <w:color w:val="8B0000"/>
          <w:sz w:val="23"/>
          <w:szCs w:val="23"/>
          <w:bdr w:val="none" w:sz="0" w:space="0" w:color="auto" w:frame="1"/>
          <w:lang w:eastAsia="en-GB"/>
        </w:rPr>
        <w:t>89.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dotted" w:sz="6" w:space="0" w:color="FEFEFE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70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modifică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avea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următorul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cuprins: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>Articolul</w:t>
      </w:r>
      <w:proofErr w:type="spellEnd"/>
      <w:proofErr w:type="gram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70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La data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intrării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ordonanțe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urgență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abrogă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fldChar w:fldCharType="begin"/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instrText xml:space="preserve"> HYPERLINK "https://legislatie.just.ro/Public/DetaliiDocumentAfis/46009" </w:instrTex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fldChar w:fldCharType="separate"/>
      </w:r>
      <w:r w:rsidRPr="00D51388">
        <w:rPr>
          <w:rFonts w:ascii="inherit" w:eastAsia="Times New Roman" w:hAnsi="inherit" w:cs="Times New Roman"/>
          <w:color w:val="428BCA"/>
          <w:sz w:val="17"/>
          <w:szCs w:val="17"/>
          <w:u w:val="single"/>
          <w:bdr w:val="none" w:sz="0" w:space="0" w:color="auto" w:frame="1"/>
          <w:shd w:val="clear" w:color="auto" w:fill="FFFFE0"/>
          <w:lang w:eastAsia="en-GB"/>
        </w:rPr>
        <w:t>Legea</w:t>
      </w:r>
      <w:proofErr w:type="spellEnd"/>
      <w:r w:rsidRPr="00D51388">
        <w:rPr>
          <w:rFonts w:ascii="inherit" w:eastAsia="Times New Roman" w:hAnsi="inherit" w:cs="Times New Roman"/>
          <w:color w:val="428BCA"/>
          <w:sz w:val="17"/>
          <w:szCs w:val="17"/>
          <w:u w:val="single"/>
          <w:bdr w:val="none" w:sz="0" w:space="0" w:color="auto" w:frame="1"/>
          <w:shd w:val="clear" w:color="auto" w:fill="FFFFE0"/>
          <w:lang w:eastAsia="en-GB"/>
        </w:rPr>
        <w:t xml:space="preserve"> nr. 192/2001</w:t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fldChar w:fldCharType="end"/>
      </w:r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privind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resursele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vii,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pescuitul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acvacultura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republicată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Monitorul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Oficial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României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Partea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I, nr. 627 din 2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septembrie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2003,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modificările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completările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ulterioare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dispoziții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contrare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prevederilor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ordonanțe</w:t>
      </w:r>
      <w:proofErr w:type="spellEnd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shd w:val="clear" w:color="auto" w:fill="FFFFE0"/>
          <w:lang w:eastAsia="en-GB"/>
        </w:rPr>
        <w:t>urgență.</w:t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Articolul</w:t>
      </w:r>
      <w:proofErr w:type="spellEnd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 xml:space="preserve"> II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(1) La data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legi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subrogă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Domeniilor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Statului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privește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drepturile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obligațiile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rezultă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încheiate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aceasta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contractanți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dețin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exploatare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administrare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amenajări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au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încheiat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asociere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participațiune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tipuri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încheia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adiționale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acest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sens.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(2)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titlu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gratuit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acțiunile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Domeniilor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Statului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le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deține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societățile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comerciale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profil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terenurile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 care sunt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amplasate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amenajările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precum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alte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terenuri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aferente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amenajărilor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piscicole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deținute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aceasta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protocol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predare-preluare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aprobat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.(3)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termen de 30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zile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intrarea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vigoare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prezentei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legi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Domeniilor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Statului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predă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patrimoniul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arhivele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documentația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aferentă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acestora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care au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fost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preluate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la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Compania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Administrare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Fondului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Piscicol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.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Patrimoniul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protocol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încheiat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între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părți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aprobat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modificându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-se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corespunzător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bugetele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două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instituții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.(4)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subrogă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Administrației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"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Române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"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Societății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Comerciale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Producere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Energiei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Electrice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"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Hidroelectrica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" - S.A.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București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privește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drepturile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obligațiile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rezultă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încheiate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acestea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au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obiect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exploatarea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gestionarea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gospodărirea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administrarea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vii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toate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încheiate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acest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sens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terțe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persoane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fizice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sau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juridice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baza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unui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protocol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predare-preluare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aprobat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ordin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al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ministrului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agriculturii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pădurilor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dezvoltării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rurale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.(5)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Administrația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Rezervației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" se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subrogă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în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privește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drepturile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obligațiile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rezultă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concesiune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au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obiect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valorificarea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vii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Rezervația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".(6)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Agenția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Națională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pentru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Pescuit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Acvacultură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predă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pe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bază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protocol,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către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Administrația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Rezervației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"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contractele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concesiune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care au ca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obiect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valorificarea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resurselor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acvatice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vii din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Rezervația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Biosferei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"Delta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Dunării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".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Această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lege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fost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adoptată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de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Parlamentul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României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cu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respectarea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prevederilor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  <w:hyperlink r:id="rId14" w:anchor="A438" w:history="1"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>art. 75</w:t>
        </w:r>
      </w:hyperlink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 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ale </w:t>
      </w:r>
      <w:hyperlink r:id="rId15" w:anchor="A445" w:history="1"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art. 76 </w:t>
        </w:r>
        <w:proofErr w:type="spellStart"/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>alin</w:t>
        </w:r>
        <w:proofErr w:type="spellEnd"/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. (1) din </w:t>
        </w:r>
        <w:proofErr w:type="spellStart"/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>Constituția</w:t>
        </w:r>
        <w:proofErr w:type="spellEnd"/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>României</w:t>
        </w:r>
        <w:proofErr w:type="spellEnd"/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, </w:t>
        </w:r>
        <w:proofErr w:type="spellStart"/>
        <w:r w:rsidRPr="00D51388">
          <w:rPr>
            <w:rFonts w:ascii="inherit" w:eastAsia="Times New Roman" w:hAnsi="inherit" w:cs="Times New Roman"/>
            <w:color w:val="428BCA"/>
            <w:sz w:val="23"/>
            <w:szCs w:val="23"/>
            <w:u w:val="single"/>
            <w:bdr w:val="none" w:sz="0" w:space="0" w:color="auto" w:frame="1"/>
            <w:lang w:eastAsia="en-GB"/>
          </w:rPr>
          <w:t>republicată</w:t>
        </w:r>
        <w:proofErr w:type="spellEnd"/>
      </w:hyperlink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.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br/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p. PREȘEDINTELE CAMEREI DEPUTAȚILOR,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br/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DANIELA POPA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br/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PREȘEDINTELE SENATULUI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br/>
      </w:r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 xml:space="preserve">MIRCEA-DAN </w:t>
      </w:r>
      <w:proofErr w:type="spellStart"/>
      <w:r w:rsidRPr="00D51388">
        <w:rPr>
          <w:rFonts w:ascii="Verdana" w:eastAsia="Times New Roman" w:hAnsi="Verdana" w:cs="Times New Roman"/>
          <w:b/>
          <w:bCs/>
          <w:color w:val="00008B"/>
          <w:sz w:val="17"/>
          <w:szCs w:val="17"/>
          <w:bdr w:val="none" w:sz="0" w:space="0" w:color="auto" w:frame="1"/>
          <w:lang w:eastAsia="en-GB"/>
        </w:rPr>
        <w:t>GEOANĂ</w:t>
      </w:r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București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, 13 </w:t>
      </w:r>
      <w:proofErr w:type="spellStart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>octombrie</w:t>
      </w:r>
      <w:proofErr w:type="spellEnd"/>
      <w:r w:rsidRPr="00D5138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en-GB"/>
        </w:rPr>
        <w:t xml:space="preserve"> 2009.Nr. 317.</w:t>
      </w:r>
    </w:p>
    <w:p w14:paraId="16FDF9DC" w14:textId="12B343A6" w:rsidR="00D51388" w:rsidRPr="00D51388" w:rsidRDefault="00D51388" w:rsidP="00D51388">
      <w:pPr>
        <w:numPr>
          <w:ilvl w:val="0"/>
          <w:numId w:val="4"/>
        </w:numPr>
        <w:shd w:val="clear" w:color="auto" w:fill="003263"/>
        <w:spacing w:after="0" w:line="240" w:lineRule="auto"/>
        <w:ind w:left="-330"/>
        <w:jc w:val="center"/>
        <w:textAlignment w:val="baseline"/>
        <w:rPr>
          <w:rFonts w:ascii="Arial" w:eastAsia="Times New Roman" w:hAnsi="Arial" w:cs="Arial"/>
          <w:caps/>
          <w:color w:val="FFFFFF"/>
          <w:sz w:val="18"/>
          <w:szCs w:val="18"/>
          <w:lang w:eastAsia="en-GB"/>
        </w:rPr>
      </w:pPr>
      <w:r w:rsidRPr="00D51388">
        <w:rPr>
          <w:rFonts w:ascii="Arial" w:eastAsia="Times New Roman" w:hAnsi="Arial" w:cs="Arial"/>
          <w:caps/>
          <w:color w:val="FFFFFF"/>
          <w:sz w:val="18"/>
          <w:szCs w:val="18"/>
          <w:lang w:eastAsia="en-GB"/>
        </w:rPr>
        <w:br/>
      </w:r>
      <w:r w:rsidRPr="00D51388">
        <w:rPr>
          <w:rFonts w:ascii="inherit" w:eastAsia="Times New Roman" w:hAnsi="inherit" w:cs="Times New Roman"/>
          <w:noProof/>
          <w:color w:val="000000"/>
          <w:sz w:val="23"/>
          <w:szCs w:val="23"/>
          <w:lang w:eastAsia="en-GB"/>
        </w:rPr>
        <w:drawing>
          <wp:anchor distT="0" distB="0" distL="0" distR="0" simplePos="0" relativeHeight="251658240" behindDoc="0" locked="0" layoutInCell="1" allowOverlap="0" wp14:anchorId="79DB6CF3" wp14:editId="031D362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8941" cy="1498941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41" cy="149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73634" w14:textId="77777777" w:rsidR="00D51388" w:rsidRPr="00D51388" w:rsidRDefault="00D51388" w:rsidP="00D51388">
      <w:pPr>
        <w:shd w:val="clear" w:color="auto" w:fill="003263"/>
        <w:spacing w:after="0" w:line="240" w:lineRule="auto"/>
        <w:ind w:left="-330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Conținutul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acestui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material nu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reprezintă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în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mod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obligatoriu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poziția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oficială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a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Uniunii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Europene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sau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a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Guvernului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României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.</w:t>
      </w:r>
    </w:p>
    <w:p w14:paraId="1A973518" w14:textId="77777777" w:rsidR="00D51388" w:rsidRPr="00D51388" w:rsidRDefault="00D51388" w:rsidP="00D51388">
      <w:pPr>
        <w:shd w:val="clear" w:color="auto" w:fill="003263"/>
        <w:spacing w:after="0" w:line="240" w:lineRule="auto"/>
        <w:ind w:left="-330"/>
        <w:jc w:val="center"/>
        <w:textAlignment w:val="baseline"/>
        <w:rPr>
          <w:rFonts w:ascii="Arial" w:eastAsia="Times New Roman" w:hAnsi="Arial" w:cs="Arial"/>
          <w:caps/>
          <w:color w:val="FFFFFF"/>
          <w:sz w:val="18"/>
          <w:szCs w:val="18"/>
          <w:lang w:eastAsia="en-GB"/>
        </w:rPr>
      </w:pPr>
      <w:r w:rsidRPr="00D51388">
        <w:rPr>
          <w:rFonts w:ascii="Arial" w:eastAsia="Times New Roman" w:hAnsi="Arial" w:cs="Arial"/>
          <w:caps/>
          <w:color w:val="FFFFFF"/>
          <w:sz w:val="18"/>
          <w:szCs w:val="18"/>
          <w:lang w:eastAsia="en-GB"/>
        </w:rPr>
        <w:br/>
      </w:r>
    </w:p>
    <w:p w14:paraId="35DCA925" w14:textId="77777777" w:rsidR="00D51388" w:rsidRPr="00D51388" w:rsidRDefault="00D51388" w:rsidP="00D51388">
      <w:pPr>
        <w:shd w:val="clear" w:color="auto" w:fill="003263"/>
        <w:spacing w:after="0" w:line="240" w:lineRule="auto"/>
        <w:ind w:left="-330"/>
        <w:jc w:val="center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en-GB"/>
        </w:rPr>
      </w:pP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Pentru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informații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detaliate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despre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celelalte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programe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cofinanțate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de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Uniunea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Europeană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,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vă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invităm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să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vizitați</w:t>
      </w:r>
      <w:proofErr w:type="spellEnd"/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 </w:t>
      </w:r>
      <w:hyperlink r:id="rId17" w:history="1">
        <w:r w:rsidRPr="00D51388">
          <w:rPr>
            <w:rFonts w:ascii="inherit" w:eastAsia="Times New Roman" w:hAnsi="inherit" w:cs="Arial"/>
            <w:b/>
            <w:bCs/>
            <w:color w:val="FFFFFF"/>
            <w:sz w:val="18"/>
            <w:szCs w:val="18"/>
            <w:u w:val="single"/>
            <w:bdr w:val="none" w:sz="0" w:space="0" w:color="auto" w:frame="1"/>
            <w:lang w:eastAsia="en-GB"/>
          </w:rPr>
          <w:t>www.fonduri-ue.ro</w:t>
        </w:r>
      </w:hyperlink>
      <w:r w:rsidRPr="00D51388">
        <w:rPr>
          <w:rFonts w:ascii="Arial" w:eastAsia="Times New Roman" w:hAnsi="Arial" w:cs="Arial"/>
          <w:color w:val="FFFFFF"/>
          <w:sz w:val="18"/>
          <w:szCs w:val="18"/>
          <w:lang w:eastAsia="en-GB"/>
        </w:rPr>
        <w:t>.</w:t>
      </w:r>
    </w:p>
    <w:p w14:paraId="6D51B898" w14:textId="77777777" w:rsidR="00D51388" w:rsidRPr="00D51388" w:rsidRDefault="00D51388" w:rsidP="00D51388">
      <w:pPr>
        <w:shd w:val="clear" w:color="auto" w:fill="002142"/>
        <w:spacing w:after="0" w:line="720" w:lineRule="atLeast"/>
        <w:jc w:val="center"/>
        <w:textAlignment w:val="baseline"/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</w:pPr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Copyright © 2022 - </w:t>
      </w:r>
      <w:proofErr w:type="spellStart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>Ministerul</w:t>
      </w:r>
      <w:proofErr w:type="spellEnd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>Justiției</w:t>
      </w:r>
      <w:proofErr w:type="spellEnd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. </w:t>
      </w:r>
      <w:proofErr w:type="spellStart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>Toate</w:t>
      </w:r>
      <w:proofErr w:type="spellEnd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>drepturile</w:t>
      </w:r>
      <w:proofErr w:type="spellEnd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 </w:t>
      </w:r>
      <w:proofErr w:type="spellStart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>rezervate</w:t>
      </w:r>
      <w:proofErr w:type="spellEnd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>. - </w:t>
      </w:r>
      <w:proofErr w:type="spellStart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fldChar w:fldCharType="begin"/>
      </w:r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instrText xml:space="preserve"> HYPERLINK "https://legislatie.just.ro/Public/Termeni" </w:instrText>
      </w:r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fldChar w:fldCharType="separate"/>
      </w:r>
      <w:r w:rsidRPr="00D51388">
        <w:rPr>
          <w:rFonts w:ascii="Segoe UI" w:eastAsia="Times New Roman" w:hAnsi="Segoe UI" w:cs="Segoe UI"/>
          <w:color w:val="428BCA"/>
          <w:sz w:val="18"/>
          <w:szCs w:val="18"/>
          <w:u w:val="single"/>
          <w:bdr w:val="none" w:sz="0" w:space="0" w:color="auto" w:frame="1"/>
          <w:lang w:eastAsia="en-GB"/>
        </w:rPr>
        <w:t>Termeni</w:t>
      </w:r>
      <w:proofErr w:type="spellEnd"/>
      <w:r w:rsidRPr="00D51388">
        <w:rPr>
          <w:rFonts w:ascii="Segoe UI" w:eastAsia="Times New Roman" w:hAnsi="Segoe UI" w:cs="Segoe UI"/>
          <w:color w:val="428BCA"/>
          <w:sz w:val="18"/>
          <w:szCs w:val="18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Segoe UI" w:eastAsia="Times New Roman" w:hAnsi="Segoe UI" w:cs="Segoe UI"/>
          <w:color w:val="428BCA"/>
          <w:sz w:val="18"/>
          <w:szCs w:val="18"/>
          <w:u w:val="single"/>
          <w:bdr w:val="none" w:sz="0" w:space="0" w:color="auto" w:frame="1"/>
          <w:lang w:eastAsia="en-GB"/>
        </w:rPr>
        <w:t>și</w:t>
      </w:r>
      <w:proofErr w:type="spellEnd"/>
      <w:r w:rsidRPr="00D51388">
        <w:rPr>
          <w:rFonts w:ascii="Segoe UI" w:eastAsia="Times New Roman" w:hAnsi="Segoe UI" w:cs="Segoe UI"/>
          <w:color w:val="428BCA"/>
          <w:sz w:val="18"/>
          <w:szCs w:val="18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D51388">
        <w:rPr>
          <w:rFonts w:ascii="Segoe UI" w:eastAsia="Times New Roman" w:hAnsi="Segoe UI" w:cs="Segoe UI"/>
          <w:color w:val="428BCA"/>
          <w:sz w:val="18"/>
          <w:szCs w:val="18"/>
          <w:u w:val="single"/>
          <w:bdr w:val="none" w:sz="0" w:space="0" w:color="auto" w:frame="1"/>
          <w:lang w:eastAsia="en-GB"/>
        </w:rPr>
        <w:t>Condiții</w:t>
      </w:r>
      <w:proofErr w:type="spellEnd"/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fldChar w:fldCharType="end"/>
      </w:r>
    </w:p>
    <w:p w14:paraId="73239C59" w14:textId="77777777" w:rsidR="00D51388" w:rsidRPr="00D51388" w:rsidRDefault="00D51388" w:rsidP="00D51388">
      <w:pPr>
        <w:shd w:val="clear" w:color="auto" w:fill="002142"/>
        <w:spacing w:after="0" w:line="720" w:lineRule="atLeast"/>
        <w:jc w:val="center"/>
        <w:textAlignment w:val="baseline"/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</w:pPr>
      <w:r w:rsidRPr="00D51388">
        <w:rPr>
          <w:rFonts w:ascii="Segoe UI" w:eastAsia="Times New Roman" w:hAnsi="Symbol" w:cs="Segoe UI"/>
          <w:color w:val="386897"/>
          <w:sz w:val="18"/>
          <w:szCs w:val="18"/>
          <w:lang w:eastAsia="en-GB"/>
        </w:rPr>
        <w:t></w:t>
      </w:r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  </w:t>
      </w:r>
      <w:hyperlink r:id="rId18" w:history="1"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 | </w:t>
        </w:r>
        <w:proofErr w:type="spellStart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Acasă</w:t>
        </w:r>
        <w:proofErr w:type="spellEnd"/>
      </w:hyperlink>
    </w:p>
    <w:p w14:paraId="3831E95C" w14:textId="77777777" w:rsidR="00D51388" w:rsidRPr="00D51388" w:rsidRDefault="00D51388" w:rsidP="00D51388">
      <w:pPr>
        <w:shd w:val="clear" w:color="auto" w:fill="002142"/>
        <w:spacing w:after="0" w:line="720" w:lineRule="atLeast"/>
        <w:jc w:val="center"/>
        <w:textAlignment w:val="baseline"/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</w:pPr>
      <w:r w:rsidRPr="00D51388">
        <w:rPr>
          <w:rFonts w:ascii="Segoe UI" w:eastAsia="Times New Roman" w:hAnsi="Symbol" w:cs="Segoe UI"/>
          <w:color w:val="386897"/>
          <w:sz w:val="18"/>
          <w:szCs w:val="18"/>
          <w:lang w:eastAsia="en-GB"/>
        </w:rPr>
        <w:t></w:t>
      </w:r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  </w:t>
      </w:r>
      <w:hyperlink r:id="rId19" w:history="1"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 | </w:t>
        </w:r>
        <w:proofErr w:type="spellStart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Despre</w:t>
        </w:r>
        <w:proofErr w:type="spellEnd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Proiect</w:t>
        </w:r>
        <w:proofErr w:type="spellEnd"/>
      </w:hyperlink>
    </w:p>
    <w:p w14:paraId="6DD23EF8" w14:textId="77777777" w:rsidR="00D51388" w:rsidRPr="00D51388" w:rsidRDefault="00D51388" w:rsidP="00D51388">
      <w:pPr>
        <w:shd w:val="clear" w:color="auto" w:fill="002142"/>
        <w:spacing w:after="0" w:line="720" w:lineRule="atLeast"/>
        <w:jc w:val="center"/>
        <w:textAlignment w:val="baseline"/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</w:pPr>
      <w:r w:rsidRPr="00D51388">
        <w:rPr>
          <w:rFonts w:ascii="Segoe UI" w:eastAsia="Times New Roman" w:hAnsi="Symbol" w:cs="Segoe UI"/>
          <w:color w:val="386897"/>
          <w:sz w:val="18"/>
          <w:szCs w:val="18"/>
          <w:lang w:eastAsia="en-GB"/>
        </w:rPr>
        <w:t></w:t>
      </w:r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  </w:t>
      </w:r>
      <w:hyperlink r:id="rId20" w:history="1"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 | </w:t>
        </w:r>
        <w:proofErr w:type="spellStart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Facilități</w:t>
        </w:r>
        <w:proofErr w:type="spellEnd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Oferite</w:t>
        </w:r>
        <w:proofErr w:type="spellEnd"/>
      </w:hyperlink>
    </w:p>
    <w:p w14:paraId="35C6940D" w14:textId="77777777" w:rsidR="00D51388" w:rsidRPr="00D51388" w:rsidRDefault="00D51388" w:rsidP="00D51388">
      <w:pPr>
        <w:shd w:val="clear" w:color="auto" w:fill="002142"/>
        <w:spacing w:after="0" w:line="720" w:lineRule="atLeast"/>
        <w:jc w:val="center"/>
        <w:textAlignment w:val="baseline"/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</w:pPr>
      <w:r w:rsidRPr="00D51388">
        <w:rPr>
          <w:rFonts w:ascii="Segoe UI" w:eastAsia="Times New Roman" w:hAnsi="Symbol" w:cs="Segoe UI"/>
          <w:color w:val="386897"/>
          <w:sz w:val="18"/>
          <w:szCs w:val="18"/>
          <w:lang w:eastAsia="en-GB"/>
        </w:rPr>
        <w:t></w:t>
      </w:r>
      <w:r w:rsidRPr="00D51388">
        <w:rPr>
          <w:rFonts w:ascii="Segoe UI" w:eastAsia="Times New Roman" w:hAnsi="Segoe UI" w:cs="Segoe UI"/>
          <w:color w:val="386897"/>
          <w:sz w:val="18"/>
          <w:szCs w:val="18"/>
          <w:lang w:eastAsia="en-GB"/>
        </w:rPr>
        <w:t xml:space="preserve">  </w:t>
      </w:r>
      <w:hyperlink r:id="rId21" w:history="1"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 | </w:t>
        </w:r>
        <w:proofErr w:type="spellStart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>Legături</w:t>
        </w:r>
        <w:proofErr w:type="spellEnd"/>
        <w:r w:rsidRPr="00D51388">
          <w:rPr>
            <w:rFonts w:ascii="Segoe UI" w:eastAsia="Times New Roman" w:hAnsi="Segoe UI" w:cs="Segoe UI"/>
            <w:color w:val="386897"/>
            <w:sz w:val="18"/>
            <w:szCs w:val="18"/>
            <w:u w:val="single"/>
            <w:bdr w:val="none" w:sz="0" w:space="0" w:color="auto" w:frame="1"/>
            <w:lang w:eastAsia="en-GB"/>
          </w:rPr>
          <w:t xml:space="preserve"> Utile</w:t>
        </w:r>
      </w:hyperlink>
    </w:p>
    <w:p w14:paraId="468A926A" w14:textId="77777777" w:rsidR="00F03B59" w:rsidRDefault="00F03B59"/>
    <w:sectPr w:rsidR="00F0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_premier_promedium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552D"/>
    <w:multiLevelType w:val="multilevel"/>
    <w:tmpl w:val="AFE4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67D42"/>
    <w:multiLevelType w:val="multilevel"/>
    <w:tmpl w:val="3A9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C1C72"/>
    <w:multiLevelType w:val="multilevel"/>
    <w:tmpl w:val="EFE4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55EE1"/>
    <w:multiLevelType w:val="multilevel"/>
    <w:tmpl w:val="37B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88"/>
    <w:rsid w:val="00D51388"/>
    <w:rsid w:val="00F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7065D6"/>
  <w15:chartTrackingRefBased/>
  <w15:docId w15:val="{BE547FCF-AB16-4756-9763-95DBAEF6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1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51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3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513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5138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sonormal0">
    <w:name w:val="msonormal"/>
    <w:basedOn w:val="Normal"/>
    <w:rsid w:val="00D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13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38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D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yphicon">
    <w:name w:val="glyphicon"/>
    <w:basedOn w:val="DefaultParagraphFont"/>
    <w:rsid w:val="00D51388"/>
  </w:style>
  <w:style w:type="character" w:customStyle="1" w:styleId="sden">
    <w:name w:val="s_den"/>
    <w:basedOn w:val="DefaultParagraphFont"/>
    <w:rsid w:val="00D51388"/>
  </w:style>
  <w:style w:type="character" w:customStyle="1" w:styleId="shdr">
    <w:name w:val="s_hdr"/>
    <w:basedOn w:val="DefaultParagraphFont"/>
    <w:rsid w:val="00D51388"/>
  </w:style>
  <w:style w:type="character" w:customStyle="1" w:styleId="semtttl">
    <w:name w:val="s_emt_ttl"/>
    <w:basedOn w:val="DefaultParagraphFont"/>
    <w:rsid w:val="00D51388"/>
  </w:style>
  <w:style w:type="character" w:customStyle="1" w:styleId="semtbdy">
    <w:name w:val="s_emt_bdy"/>
    <w:basedOn w:val="DefaultParagraphFont"/>
    <w:rsid w:val="00D51388"/>
  </w:style>
  <w:style w:type="character" w:customStyle="1" w:styleId="spub">
    <w:name w:val="s_pub"/>
    <w:basedOn w:val="DefaultParagraphFont"/>
    <w:rsid w:val="00D51388"/>
  </w:style>
  <w:style w:type="character" w:customStyle="1" w:styleId="spubttl">
    <w:name w:val="s_pub_ttl"/>
    <w:basedOn w:val="DefaultParagraphFont"/>
    <w:rsid w:val="00D51388"/>
  </w:style>
  <w:style w:type="character" w:customStyle="1" w:styleId="spubbdy">
    <w:name w:val="s_pub_bdy"/>
    <w:basedOn w:val="DefaultParagraphFont"/>
    <w:rsid w:val="00D51388"/>
  </w:style>
  <w:style w:type="character" w:customStyle="1" w:styleId="spar">
    <w:name w:val="s_par"/>
    <w:basedOn w:val="DefaultParagraphFont"/>
    <w:rsid w:val="00D51388"/>
  </w:style>
  <w:style w:type="character" w:customStyle="1" w:styleId="sart">
    <w:name w:val="s_art"/>
    <w:basedOn w:val="DefaultParagraphFont"/>
    <w:rsid w:val="00D51388"/>
  </w:style>
  <w:style w:type="character" w:customStyle="1" w:styleId="sartttl">
    <w:name w:val="s_art_ttl"/>
    <w:basedOn w:val="DefaultParagraphFont"/>
    <w:rsid w:val="00D51388"/>
  </w:style>
  <w:style w:type="character" w:customStyle="1" w:styleId="sartden">
    <w:name w:val="s_art_den"/>
    <w:basedOn w:val="DefaultParagraphFont"/>
    <w:rsid w:val="00D51388"/>
  </w:style>
  <w:style w:type="character" w:customStyle="1" w:styleId="sartbdy">
    <w:name w:val="s_art_bdy"/>
    <w:basedOn w:val="DefaultParagraphFont"/>
    <w:rsid w:val="00D51388"/>
  </w:style>
  <w:style w:type="character" w:customStyle="1" w:styleId="spct">
    <w:name w:val="s_pct"/>
    <w:basedOn w:val="DefaultParagraphFont"/>
    <w:rsid w:val="00D51388"/>
  </w:style>
  <w:style w:type="character" w:customStyle="1" w:styleId="spctttl">
    <w:name w:val="s_pct_ttl"/>
    <w:basedOn w:val="DefaultParagraphFont"/>
    <w:rsid w:val="00D51388"/>
  </w:style>
  <w:style w:type="character" w:customStyle="1" w:styleId="spctbdy">
    <w:name w:val="s_pct_bdy"/>
    <w:basedOn w:val="DefaultParagraphFont"/>
    <w:rsid w:val="00D51388"/>
  </w:style>
  <w:style w:type="character" w:customStyle="1" w:styleId="scit">
    <w:name w:val="s_cit"/>
    <w:basedOn w:val="DefaultParagraphFont"/>
    <w:rsid w:val="00D51388"/>
  </w:style>
  <w:style w:type="character" w:customStyle="1" w:styleId="saln">
    <w:name w:val="s_aln"/>
    <w:basedOn w:val="DefaultParagraphFont"/>
    <w:rsid w:val="00D51388"/>
  </w:style>
  <w:style w:type="character" w:customStyle="1" w:styleId="salnttl">
    <w:name w:val="s_aln_ttl"/>
    <w:basedOn w:val="DefaultParagraphFont"/>
    <w:rsid w:val="00D51388"/>
  </w:style>
  <w:style w:type="character" w:customStyle="1" w:styleId="salnbdy">
    <w:name w:val="s_aln_bdy"/>
    <w:basedOn w:val="DefaultParagraphFont"/>
    <w:rsid w:val="00D51388"/>
  </w:style>
  <w:style w:type="character" w:customStyle="1" w:styleId="slit">
    <w:name w:val="s_lit"/>
    <w:basedOn w:val="DefaultParagraphFont"/>
    <w:rsid w:val="00D51388"/>
  </w:style>
  <w:style w:type="character" w:customStyle="1" w:styleId="slitttl">
    <w:name w:val="s_lit_ttl"/>
    <w:basedOn w:val="DefaultParagraphFont"/>
    <w:rsid w:val="00D51388"/>
  </w:style>
  <w:style w:type="character" w:customStyle="1" w:styleId="slitbdy">
    <w:name w:val="s_lit_bdy"/>
    <w:basedOn w:val="DefaultParagraphFont"/>
    <w:rsid w:val="00D51388"/>
  </w:style>
  <w:style w:type="character" w:customStyle="1" w:styleId="ssmn">
    <w:name w:val="s_smn"/>
    <w:basedOn w:val="DefaultParagraphFont"/>
    <w:rsid w:val="00D51388"/>
  </w:style>
  <w:style w:type="character" w:customStyle="1" w:styleId="ssmnpar">
    <w:name w:val="s_smn_par"/>
    <w:basedOn w:val="DefaultParagraphFont"/>
    <w:rsid w:val="00D51388"/>
  </w:style>
  <w:style w:type="paragraph" w:customStyle="1" w:styleId="floatnone">
    <w:name w:val="floatnone"/>
    <w:basedOn w:val="Normal"/>
    <w:rsid w:val="00D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771">
          <w:marLeft w:val="0"/>
          <w:marRight w:val="0"/>
          <w:marTop w:val="0"/>
          <w:marBottom w:val="300"/>
          <w:divBdr>
            <w:top w:val="single" w:sz="18" w:space="0" w:color="28456E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910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6442">
                  <w:marLeft w:val="0"/>
                  <w:marRight w:val="0"/>
                  <w:marTop w:val="0"/>
                  <w:marBottom w:val="300"/>
                  <w:divBdr>
                    <w:top w:val="single" w:sz="6" w:space="0" w:color="080808"/>
                    <w:left w:val="single" w:sz="6" w:space="0" w:color="080808"/>
                    <w:bottom w:val="single" w:sz="6" w:space="0" w:color="080808"/>
                    <w:right w:val="single" w:sz="6" w:space="0" w:color="080808"/>
                  </w:divBdr>
                  <w:divsChild>
                    <w:div w:id="14100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408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7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9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391">
                                      <w:marLeft w:val="-15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4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4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1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316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3874">
              <w:marLeft w:val="0"/>
              <w:marRight w:val="0"/>
              <w:marTop w:val="1500"/>
              <w:marBottom w:val="0"/>
              <w:divBdr>
                <w:top w:val="single" w:sz="6" w:space="30" w:color="E5E5E5"/>
                <w:left w:val="none" w:sz="0" w:space="0" w:color="auto"/>
                <w:bottom w:val="none" w:sz="0" w:space="30" w:color="auto"/>
                <w:right w:val="none" w:sz="0" w:space="0" w:color="auto"/>
              </w:divBdr>
              <w:divsChild>
                <w:div w:id="1359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Functionalitati" TargetMode="External"/><Relationship Id="rId13" Type="http://schemas.openxmlformats.org/officeDocument/2006/relationships/hyperlink" Target="https://legislatie.just.ro/Public/FormaPrintabila/00000G08LKBOOMG9HJ0123A34R7X6UIK" TargetMode="External"/><Relationship Id="rId18" Type="http://schemas.openxmlformats.org/officeDocument/2006/relationships/hyperlink" Target="https://legislatie.just.ro/Public/Aca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islatie.just.ro/Public/LegaturiUtile" TargetMode="External"/><Relationship Id="rId7" Type="http://schemas.openxmlformats.org/officeDocument/2006/relationships/hyperlink" Target="https://legislatie.just.ro/Public/NLEX" TargetMode="External"/><Relationship Id="rId12" Type="http://schemas.openxmlformats.org/officeDocument/2006/relationships/hyperlink" Target="https://legislatie.just.ro/Public/DetaliiDocumentAfis/112447" TargetMode="External"/><Relationship Id="rId17" Type="http://schemas.openxmlformats.org/officeDocument/2006/relationships/hyperlink" Target="http://www.fonduri-ue.ro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legislatie.just.ro/Public/Functionalita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islatie.just.ro/Public/Acasa" TargetMode="External"/><Relationship Id="rId11" Type="http://schemas.openxmlformats.org/officeDocument/2006/relationships/hyperlink" Target="https://legislatie.just.ro/Public/DetaliiDocumentAfis/11244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gislatie.just.ro/Public/DetaliiDocumentAfis/473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gislatie.just.ro/Public/DetaliiDocumentAfis/112447" TargetMode="External"/><Relationship Id="rId19" Type="http://schemas.openxmlformats.org/officeDocument/2006/relationships/hyperlink" Target="https://legislatie.just.ro/Public/NL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LegaturiUtile" TargetMode="External"/><Relationship Id="rId14" Type="http://schemas.openxmlformats.org/officeDocument/2006/relationships/hyperlink" Target="https://legislatie.just.ro/Public/DetaliiDocumentAfis/4735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6717</Words>
  <Characters>38287</Characters>
  <Application>Microsoft Office Word</Application>
  <DocSecurity>0</DocSecurity>
  <Lines>319</Lines>
  <Paragraphs>89</Paragraphs>
  <ScaleCrop>false</ScaleCrop>
  <Company/>
  <LinksUpToDate>false</LinksUpToDate>
  <CharactersWithSpaces>44915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Andrei</dc:creator>
  <cp:keywords/>
  <dc:description/>
  <cp:lastModifiedBy>Pop Andrei</cp:lastModifiedBy>
  <cp:revision>1</cp:revision>
  <dcterms:created xsi:type="dcterms:W3CDTF">2022-02-25T08:52:00Z</dcterms:created>
  <dcterms:modified xsi:type="dcterms:W3CDTF">2022-02-25T08:55:00Z</dcterms:modified>
</cp:coreProperties>
</file>